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2018年度新疆喀什地区英吉沙县英也尔乡小学部门决算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新疆喀什地区英吉沙县英也尔乡小学</w:t>
      </w:r>
      <w:r>
        <w:rPr>
          <w:rFonts w:hint="eastAsia" w:ascii="仿宋_GB2312" w:eastAsia="仿宋_GB2312"/>
          <w:sz w:val="32"/>
          <w:szCs w:val="32"/>
        </w:rPr>
        <w:t>部门决算包括：</w:t>
      </w:r>
      <w:r>
        <w:rPr>
          <w:rFonts w:ascii="仿宋_GB2312" w:eastAsia="仿宋_GB2312"/>
          <w:sz w:val="32"/>
          <w:szCs w:val="32"/>
        </w:rPr>
        <w:t>新疆喀什地区英吉沙县英也尔乡小学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新疆喀什地区英吉沙县英也尔乡小学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新疆喀什地区英吉沙县英也尔乡小学</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2,211.07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，与上年相比，减少294.42万元，下降11.75%，减少的主要原因是：</w:t>
      </w:r>
      <w:r>
        <w:rPr>
          <w:rFonts w:hint="eastAsia" w:ascii="仿宋_GB2312" w:eastAsia="仿宋_GB2312"/>
          <w:color w:val="000000" w:themeColor="text1"/>
          <w:sz w:val="32"/>
          <w:szCs w:val="32"/>
        </w:rPr>
        <w:t>本年下发项目减少；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1,956.13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，与上年相比，减少549.36万元，下降21.93%，减少的主要原因是：</w:t>
      </w:r>
      <w:r>
        <w:rPr>
          <w:rFonts w:hint="eastAsia" w:ascii="仿宋_GB2312" w:eastAsia="仿宋_GB2312"/>
          <w:color w:val="000000" w:themeColor="text1"/>
          <w:sz w:val="32"/>
          <w:szCs w:val="32"/>
        </w:rPr>
        <w:t>本年下发项目减少；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254.94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，与上年相比，增加254.94万元，增长100%，增加的主要原因是：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2,211.07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2,211.07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况：本年收入年初预算数1,798.96万元</w:t>
      </w:r>
      <w:r>
        <w:rPr>
          <w:rFonts w:hint="eastAsia" w:ascii="仿宋_GB2312" w:eastAsia="仿宋_GB2312"/>
          <w:sz w:val="32"/>
          <w:szCs w:val="32"/>
        </w:rPr>
        <w:t>，决算数2,211.07万元</w:t>
      </w:r>
      <w:r>
        <w:rPr>
          <w:rFonts w:ascii="仿宋_GB2312" w:eastAsia="仿宋_GB2312"/>
          <w:sz w:val="32"/>
          <w:szCs w:val="32"/>
        </w:rPr>
        <w:t>，预决算差异率22.91%，差异主要原因是学生、特岗教师增加，特岗教师涨工资。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1,956.13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1,439.08</w:t>
      </w:r>
      <w:r>
        <w:rPr>
          <w:rFonts w:hint="eastAsia" w:ascii="仿宋_GB2312" w:eastAsia="仿宋_GB2312"/>
          <w:color w:val="000000" w:themeColor="text1"/>
          <w:sz w:val="32"/>
          <w:szCs w:val="32"/>
        </w:rPr>
        <w:t>万元，占</w:t>
      </w:r>
      <w:r>
        <w:rPr>
          <w:rFonts w:hint="eastAsia" w:ascii="仿宋_GB2312" w:eastAsia="仿宋_GB2312"/>
          <w:sz w:val="32"/>
          <w:szCs w:val="32"/>
        </w:rPr>
        <w:t>73.57%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517.05</w:t>
      </w:r>
      <w:r>
        <w:rPr>
          <w:rFonts w:hint="eastAsia" w:ascii="仿宋_GB2312" w:eastAsia="仿宋_GB2312"/>
          <w:color w:val="000000" w:themeColor="text1"/>
          <w:sz w:val="32"/>
          <w:szCs w:val="32"/>
        </w:rPr>
        <w:t>万元，占</w:t>
      </w:r>
      <w:r>
        <w:rPr>
          <w:rFonts w:hint="eastAsia" w:ascii="仿宋_GB2312" w:eastAsia="仿宋_GB2312"/>
          <w:sz w:val="32"/>
          <w:szCs w:val="32"/>
        </w:rPr>
        <w:t>26.43%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与年初预算数相比情况：本年支出年初预算数1,798.96万元，</w:t>
      </w:r>
      <w:r>
        <w:rPr>
          <w:rFonts w:hint="eastAsia" w:ascii="仿宋_GB2312" w:eastAsia="仿宋_GB2312"/>
          <w:sz w:val="32"/>
          <w:szCs w:val="32"/>
        </w:rPr>
        <w:t>决算数1,956.13万元</w:t>
      </w:r>
      <w:r>
        <w:rPr>
          <w:rFonts w:ascii="仿宋_GB2312" w:eastAsia="仿宋_GB2312"/>
          <w:sz w:val="32"/>
          <w:szCs w:val="32"/>
        </w:rPr>
        <w:t>，预决算差异率8.74%，差异主要原因是学生、特岗教师增加，特岗教师涨工资。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2,211.07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，与上年相比，增加299.11万元，增长15.64%，增加的主要原因是：本年下发项目减少。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1,956.13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，与上年相比，增加44.17万元，增长2.31%，增加的主要原因是：</w:t>
      </w:r>
      <w:r>
        <w:rPr>
          <w:rFonts w:ascii="仿宋_GB2312" w:eastAsia="仿宋_GB2312"/>
          <w:sz w:val="32"/>
          <w:szCs w:val="32"/>
        </w:rPr>
        <w:t>本年下发项目减少。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1,439.08</w:t>
      </w:r>
      <w:r>
        <w:rPr>
          <w:rFonts w:hint="eastAsia" w:ascii="仿宋_GB2312" w:eastAsia="仿宋_GB2312"/>
          <w:color w:val="000000" w:themeColor="text1"/>
          <w:sz w:val="32"/>
          <w:szCs w:val="32"/>
        </w:rPr>
        <w:t>万元，项目支出</w:t>
      </w:r>
      <w:r>
        <w:rPr>
          <w:rFonts w:hint="eastAsia" w:ascii="仿宋_GB2312" w:eastAsia="仿宋_GB2312"/>
          <w:sz w:val="32"/>
          <w:szCs w:val="32"/>
        </w:rPr>
        <w:t>517.05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254.94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，与上年相比，增加254.94万元，增长100%，增加的主要原因是：剩余部分结余用于来年经费到达前学校的运转支出。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1,798.96</w:t>
      </w:r>
      <w:r>
        <w:rPr>
          <w:rFonts w:hint="eastAsia" w:ascii="仿宋_GB2312" w:eastAsia="仿宋_GB2312"/>
          <w:color w:val="000000" w:themeColor="text1"/>
          <w:sz w:val="32"/>
          <w:szCs w:val="32"/>
        </w:rPr>
        <w:t>万元，决算数</w:t>
      </w:r>
      <w:r>
        <w:rPr>
          <w:rFonts w:hint="eastAsia" w:ascii="仿宋_GB2312" w:eastAsia="仿宋_GB2312"/>
          <w:sz w:val="32"/>
          <w:szCs w:val="32"/>
        </w:rPr>
        <w:t>2,211.07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，预决算差异率22.91%，差异主要原因是学生、特岗教师增加，特岗教师涨工资。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1,798.96</w:t>
      </w:r>
      <w:r>
        <w:rPr>
          <w:rFonts w:hint="eastAsia" w:ascii="仿宋_GB2312" w:eastAsia="仿宋_GB2312"/>
          <w:color w:val="000000" w:themeColor="text1"/>
          <w:sz w:val="32"/>
          <w:szCs w:val="32"/>
        </w:rPr>
        <w:t>万元，决算数</w:t>
      </w:r>
      <w:r>
        <w:rPr>
          <w:rFonts w:hint="eastAsia" w:ascii="仿宋_GB2312" w:eastAsia="仿宋_GB2312"/>
          <w:sz w:val="32"/>
          <w:szCs w:val="32"/>
        </w:rPr>
        <w:t>1,956.13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，预决算差异率8.74%，差异主要原因是学生、特岗教师增加，特岗教师涨工资。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2,211.07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，与上年相比，增加299.11万元，增长15.64%，增加的主要原因是：本年下发项目减少。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1,956.13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，与上年相比，增加44.17万元，增长2.31%，增加的主要原因是：本年下发项目减少。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教育支出1,807.56万元,社会保障和就业支出148.57万元。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工资福利支出1,382.04万元,商品和服务支出146.31万元,对个人和家庭的补助427.79万元。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1,798.96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2,211.07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，预决算差异率22.91%，差异主要原因是学生、特岗教师增加，特岗教师涨工资。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1,798.96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1,956.13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，预决算差异率8.74%，差异主要原因是学生、特岗教师增加，特岗教师涨工资。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增加0万元，增长0%。增减变化的主要原因是：本年无政府性基金预算财政拨款收入。政府性基金预算支出0万元。与上年相比，增加0万元，增长0%。增减变化的主要原因是：本年无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本年无政府性基金预算财政拨款收入。政府性基金预算财政拨款支出年初预算数0万元，决算数0万元，预决算差异率0%，差异主要原因本年政府性基金预算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5"/>
      <w:bookmarkStart w:id="45" w:name="OLE_LINK26"/>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254.94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。与上年相比，增加254.94万元，增长100%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254.94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。与上年相比，增加254.94万元，增长100%。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sz w:val="32"/>
          <w:szCs w:val="32"/>
        </w:rPr>
      </w:pPr>
      <w:bookmarkStart w:id="48" w:name="OLE_LINK80"/>
      <w:bookmarkStart w:id="49" w:name="OLE_LINK79"/>
      <w:r>
        <w:rPr>
          <w:rFonts w:hint="eastAsia" w:ascii="仿宋_GB2312" w:eastAsia="仿宋_GB2312"/>
          <w:sz w:val="32"/>
          <w:szCs w:val="32"/>
        </w:rPr>
        <w:t>2018年度一般公共预算“三公”经费支出决算0万元，比上年增加0万元，增长0%，增加原因是无“三公”经费支出。其中，因公出国（境）费支出0万元，占0%，比上年增加0万元，增长0%，增加（减少）原因是无“三公”经费支出；公务用车购置及运行维护费支出0万元，占0%，比上年增长0万元，增长0%，增加原因是无“三公”经费支出；公务接待费支出0万元，占0%，比上年增加0万元，增长0%，增加原因是无“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英也尔乡小</w:t>
      </w:r>
      <w:r>
        <w:rPr>
          <w:rFonts w:hint="eastAsia" w:ascii="仿宋_GB2312" w:eastAsia="仿宋_GB2312"/>
          <w:sz w:val="32"/>
          <w:szCs w:val="32"/>
        </w:rPr>
        <w:t>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4"/>
      <w:bookmarkStart w:id="52" w:name="OLE_LINK35"/>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英也尔乡小学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ascii="仿宋_GB2312" w:hAnsi="宋体" w:eastAsia="仿宋_GB2312" w:cs="宋体"/>
          <w:color w:val="000000"/>
          <w:kern w:val="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7"/>
      <w:bookmarkStart w:id="65"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英也尔乡小学</w:t>
      </w:r>
      <w:r>
        <w:rPr>
          <w:rFonts w:hint="eastAsia" w:ascii="仿宋_GB2312" w:eastAsia="仿宋_GB2312"/>
          <w:color w:val="000000"/>
          <w:sz w:val="32"/>
          <w:szCs w:val="32"/>
        </w:rPr>
        <w:t>（</w:t>
      </w:r>
      <w:r>
        <w:rPr>
          <w:rFonts w:hint="eastAsia" w:ascii="仿宋_GB2312" w:eastAsia="仿宋_GB2312"/>
          <w:sz w:val="32"/>
          <w:szCs w:val="32"/>
        </w:rPr>
        <w:t>行政单位和参照公务员法管理事业单位）机关运行经费支出0万元，比上年增加0万元，增长0%，主要原因是无机关运行经费支出。</w:t>
      </w:r>
    </w:p>
    <w:p>
      <w:pPr>
        <w:spacing w:line="540" w:lineRule="exact"/>
        <w:ind w:firstLine="640" w:firstLineChars="200"/>
        <w:rPr>
          <w:rFonts w:ascii="仿宋_GB2312" w:eastAsia="仿宋_GB2312"/>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英也尔乡小学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比上年增加0万元，增长0%，主要原因是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英吉沙县英也尔乡小学2018年度部门预算总额为5</w:t>
      </w:r>
      <w:r>
        <w:rPr>
          <w:rFonts w:hint="eastAsia" w:ascii="仿宋_GB2312" w:eastAsia="仿宋_GB2312"/>
          <w:sz w:val="32"/>
          <w:szCs w:val="32"/>
          <w:lang w:val="en-US" w:eastAsia="zh-CN"/>
        </w:rPr>
        <w:t>12.38</w:t>
      </w:r>
      <w:r>
        <w:rPr>
          <w:rFonts w:ascii="仿宋_GB2312" w:eastAsia="仿宋_GB2312"/>
          <w:sz w:val="32"/>
          <w:szCs w:val="32"/>
        </w:rPr>
        <w:t>万元，执行金额为51</w:t>
      </w:r>
      <w:r>
        <w:rPr>
          <w:rFonts w:hint="eastAsia" w:ascii="仿宋_GB2312" w:eastAsia="仿宋_GB2312"/>
          <w:sz w:val="32"/>
          <w:szCs w:val="32"/>
          <w:lang w:val="en-US" w:eastAsia="zh-CN"/>
        </w:rPr>
        <w:t>2.38</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6</w:t>
      </w:r>
      <w:r>
        <w:rPr>
          <w:rFonts w:ascii="仿宋_GB2312" w:eastAsia="仿宋_GB2312"/>
          <w:sz w:val="32"/>
          <w:szCs w:val="32"/>
        </w:rPr>
        <w:t>个，其中已完成项目</w:t>
      </w:r>
      <w:r>
        <w:rPr>
          <w:rFonts w:hint="eastAsia" w:ascii="仿宋_GB2312" w:eastAsia="仿宋_GB2312"/>
          <w:sz w:val="32"/>
          <w:szCs w:val="32"/>
          <w:lang w:val="en-US" w:eastAsia="zh-CN"/>
        </w:rPr>
        <w:t>6</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进一步完善集中连片特困县乡村教师生活补贴政策资金项目绩效自评综述：根据年初设定的绩效目标，该项目绩效自评得分为95分。项目全年预算数为41.64万元，执行数为41.64万元，完成预算的100%。主要产出和效果：有效</w:t>
      </w:r>
      <w:r>
        <w:rPr>
          <w:rFonts w:hint="eastAsia" w:ascii="仿宋_GB2312" w:hAnsi="仿宋_GB2312" w:eastAsia="仿宋_GB2312" w:cs="仿宋_GB2312"/>
          <w:color w:val="000000"/>
          <w:sz w:val="32"/>
        </w:rPr>
        <w:t>稳固</w:t>
      </w:r>
      <w:r>
        <w:rPr>
          <w:rFonts w:ascii="仿宋_GB2312" w:hAnsi="仿宋_GB2312" w:eastAsia="仿宋_GB2312" w:cs="仿宋_GB2312"/>
          <w:color w:val="000000"/>
          <w:sz w:val="32"/>
        </w:rPr>
        <w:t>师资队伍，补充偏远地区教育教学短板，有效推行</w:t>
      </w:r>
      <w:r>
        <w:rPr>
          <w:rFonts w:hint="eastAsia" w:ascii="仿宋_GB2312" w:hAnsi="仿宋_GB2312" w:eastAsia="仿宋_GB2312" w:cs="仿宋_GB2312"/>
          <w:color w:val="000000"/>
          <w:sz w:val="32"/>
        </w:rPr>
        <w:t>普通话</w:t>
      </w:r>
      <w:r>
        <w:rPr>
          <w:rFonts w:ascii="仿宋_GB2312" w:hAnsi="仿宋_GB2312" w:eastAsia="仿宋_GB2312" w:cs="仿宋_GB2312"/>
          <w:color w:val="000000"/>
          <w:sz w:val="32"/>
        </w:rPr>
        <w:t>教学教育发现的问题及原因：无特别说明问题下一步改进措施：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color w:val="000000"/>
          <w:sz w:val="32"/>
        </w:rPr>
        <w:t>2、义务教育阶段学校班主任津贴项目绩效自评综述：根据年初设定的绩效目标，该项目绩效自评得分为95分。项目全年预算数为2.22万元，执行数为2.22万元，完成预算的100%。主要产出和效果：有效</w:t>
      </w:r>
      <w:r>
        <w:rPr>
          <w:rFonts w:hint="eastAsia" w:ascii="仿宋_GB2312" w:hAnsi="仿宋_GB2312" w:eastAsia="仿宋_GB2312" w:cs="仿宋_GB2312"/>
          <w:color w:val="000000"/>
          <w:sz w:val="32"/>
        </w:rPr>
        <w:t>稳固</w:t>
      </w:r>
      <w:r>
        <w:rPr>
          <w:rFonts w:ascii="仿宋_GB2312" w:hAnsi="仿宋_GB2312" w:eastAsia="仿宋_GB2312" w:cs="仿宋_GB2312"/>
          <w:color w:val="000000"/>
          <w:sz w:val="32"/>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农村义务教育学生营养改善计划国家试点县市补助资金项目绩效自评综述：根据年初设定的绩效目标，该项目绩效自评得分为95分。项目全年预算数为119.36万元，执行数为119.36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4</w:t>
      </w:r>
      <w:r>
        <w:rPr>
          <w:rFonts w:ascii="仿宋_GB2312" w:hAnsi="仿宋_GB2312" w:eastAsia="仿宋_GB2312" w:cs="仿宋_GB2312"/>
          <w:color w:val="000000"/>
          <w:sz w:val="32"/>
        </w:rPr>
        <w:t>、农村义务教育家庭经济学生生生活补助资金项目绩效自评综述：根据年初设定的绩效目标，该项目绩效自评得分为95分。项目全年预算数为114.26万元，执行数为114.26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农村义务教育经费保障机制公用经费补助资金项目绩效自评综述：根据年初设定的绩效目标，该项目绩效自评得分为95分。项目全年预算数为146.31万元，执行数为146.31万元，完成预算的100%。主要产出和效果：保障义务教育阶段学校正常运转，为义务教育阶段学生提供有益的学习生活环境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、学前教育经费保障机</w:t>
      </w:r>
      <w:bookmarkStart w:id="75" w:name="_GoBack"/>
      <w:bookmarkEnd w:id="75"/>
      <w:r>
        <w:rPr>
          <w:rFonts w:ascii="仿宋_GB2312" w:hAnsi="仿宋_GB2312" w:eastAsia="仿宋_GB2312" w:cs="仿宋_GB2312"/>
          <w:color w:val="000000"/>
          <w:sz w:val="32"/>
        </w:rPr>
        <w:t>制伙食补助和保教费项目绩效自评综述：根据年初设定的绩效目标，该项目绩效自评得分为95分。项目全年预算数为88.59万元，执行数为88.59万元，完成预算的100%。主要产出和效果：为学前教育阶段孩童提供营养膳食，保证幼童健康成长；保障学前教育学校正常运转，为学前年龄孩童提供积极快乐的成长环境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205（类）02（款）99（项）指：其他普通教育支出。205（类）02（款）02（项）指：小学教育。205（类）02（款）01（项）指：学前教育。208（类）05（款）05（项）指：机关事业单位基本养老保险缴费支出。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英吉沙县英也尔乡小学</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- 5 -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5576D"/>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097D"/>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6B89"/>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CF15A6D"/>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E70201C"/>
    <w:rsid w:val="3F440741"/>
    <w:rsid w:val="41FC306C"/>
    <w:rsid w:val="42C8318C"/>
    <w:rsid w:val="44BE5554"/>
    <w:rsid w:val="451E0908"/>
    <w:rsid w:val="452C2D31"/>
    <w:rsid w:val="45D26E14"/>
    <w:rsid w:val="46A541B1"/>
    <w:rsid w:val="48C57772"/>
    <w:rsid w:val="49782886"/>
    <w:rsid w:val="49D83E23"/>
    <w:rsid w:val="4A6F0D28"/>
    <w:rsid w:val="4AAF085C"/>
    <w:rsid w:val="4AEB7E60"/>
    <w:rsid w:val="4B4B135B"/>
    <w:rsid w:val="4BC7055F"/>
    <w:rsid w:val="4CDF5F97"/>
    <w:rsid w:val="4CFC7DB2"/>
    <w:rsid w:val="4E7C187D"/>
    <w:rsid w:val="4F602784"/>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B5110"/>
    <w:rsid w:val="630F4048"/>
    <w:rsid w:val="63332464"/>
    <w:rsid w:val="63AA02E5"/>
    <w:rsid w:val="64700DE9"/>
    <w:rsid w:val="64706DF6"/>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B07924"/>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1058</Words>
  <Characters>6035</Characters>
  <Lines>50</Lines>
  <Paragraphs>14</Paragraphs>
  <TotalTime>0</TotalTime>
  <ScaleCrop>false</ScaleCrop>
  <LinksUpToDate>false</LinksUpToDate>
  <CharactersWithSpaces>7079</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2021-07-14T11:05:28Z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